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8A" w:rsidRPr="00DE358A" w:rsidRDefault="00DE358A" w:rsidP="00DE358A">
      <w:pPr>
        <w:shd w:val="clear" w:color="auto" w:fill="FFFFFF"/>
        <w:spacing w:after="120" w:line="240" w:lineRule="auto"/>
        <w:jc w:val="center"/>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Bộ trưởng Bộ Y tế chỉ thị các đơn vị ngành y tế tăng cường công tác y tế đảm bảo đón Tết Nguyên Đán Quý Mão 2023.</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(Toàn văn Chỉ thị số 06 của Bộ trưởng Bộ Y tế ngày 30/12/2022)</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xml:space="preserve">Thực hiện Chỉ thị số 19-CT/TW ngày 18/11/2022 của Ban Bí thư và Chỉ thị số 22/CT-TTg ngày 23/12/2022 của Thủ tướng Chính phủ về việc tăng cường các biện pháp bảo đảm đón Tết Nguyên Đán Quý Mão 2023 vui tươi, lành mạnh, an toàn, tiết kiệm, </w:t>
      </w:r>
      <w:bookmarkStart w:id="0" w:name="_GoBack"/>
      <w:bookmarkEnd w:id="0"/>
      <w:r w:rsidRPr="00DE358A">
        <w:rPr>
          <w:rFonts w:ascii="Times New Roman" w:eastAsia="Times New Roman" w:hAnsi="Times New Roman" w:cs="Times New Roman"/>
          <w:color w:val="050505"/>
          <w:sz w:val="28"/>
          <w:szCs w:val="28"/>
        </w:rPr>
        <w:t>Bộ trưởng Bộ Y tế chỉ thị:</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1. Thủ trưởng đơn vị thuộc, trực thuộc Bộ Y tế, Giám đốc Sở Y tế các tỉnh, thành phố trực thuộc Trung ương và đơn vị y tế các ngành </w:t>
      </w:r>
      <w:r w:rsidRPr="00DE358A">
        <w:rPr>
          <w:rFonts w:ascii="Times New Roman" w:eastAsia="Times New Roman" w:hAnsi="Times New Roman" w:cs="Times New Roman"/>
          <w:color w:val="050505"/>
          <w:sz w:val="28"/>
          <w:szCs w:val="28"/>
        </w:rPr>
        <w:t>tập trung thực hiện các nội dung sau:</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Quán triệt và thực hiện đồng bộ, nghiêm túc, hiệu quả Chỉ thị số 19-CT/TW ngày 18/11/2022 của Ban Bí thư và Chỉ thị số 22/CT-TTg ngày 23/12/2022 của Thủ tướng Chính phủ về việc tăng cường các biện pháp bảo đảm đón Tết Nguyên Đán Quý Mão 2023 vui tươi, lành mạnh, an toàn, tiết kiệm.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Xây dựng và triển khai kế hoạch tăng cường công tác y tế đảm bảo đón Tết Nguyên Đán năm 2023; phân công trực 24/24 giờ đối với Lãnh đạo đơn vị, nhân viên bảo đảm khoa học, hiệu quả; niêm yết công khai danh sách trực hằng ngày theo quy định. Tuyệt đối không chủ quan, lơ là, mất cảnh giác trước dịch bệnh; tổ chức lực lượng, phương tiện ứng trực, theo dõi, giám sát diễn biến dịch và xử lý kịp thời các tình huống phát sinh.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c) Thực hiện nghiêm chế độ thông tin, báo cáo đầy đủ, kịp thời, đúng thời hạn theo yêu cầu của Chính phủ, Bộ Y tế và các cơ quan có thẩm quyền.</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d) Bảo đảm an toàn, an ninh mạng, các điều kiện cần thiết để các hệ thống thông tin, cơ sở dữ liệu hoạt động ổn định, phục vụ tốt nhất cho người dân và doanh nghiệp, nhất là tại các cơ sở khám bệnh, chữa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đ) Thực hiện tốt việc chăm lo, động viên vật chất, tinh thần đối với lực lượng trực chống dịch và cán bộ y tế công tác tại đơn vị.</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e) Chủ động phối hợp chặt chẽ với cơ quan Công an triển khai các phương án bảo đảm công tác an ninh trật tự, phòng ngừa tội phạm, phòng chống cháy nổ và vi phạm pháp luật tại các cơ sở y tế; khẩn trương trở lại làm việc bình thường sau ngày nghỉ, phấn đấu hoàn thành nhiệm vụ ngay từ những tháng đầu năm.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2. Sở Y tế các tỉnh, thành phố trực thuộc Trung ương</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Về công tác giám sát dịch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xml:space="preserve">- Tham mưu Ủy ban nhân dân tỉnh, thành phố tăng cường chỉ đạo phòng, chống dịch bệnh dịp Tết Nguyên Đán năm 2023 trên địa bàn để sẵn sàng ứng phó với mọi </w:t>
      </w:r>
      <w:r w:rsidRPr="00DE358A">
        <w:rPr>
          <w:rFonts w:ascii="Times New Roman" w:eastAsia="Times New Roman" w:hAnsi="Times New Roman" w:cs="Times New Roman"/>
          <w:color w:val="050505"/>
          <w:sz w:val="28"/>
          <w:szCs w:val="28"/>
        </w:rPr>
        <w:lastRenderedPageBreak/>
        <w:t>tình huống dịch bệnh; huy động nguồn lực, sự tham gia của các ban, ngành, đoàn thể đối với công tác y tế trong dịp Tết.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Phòng, chống dịch COVID-19 vẫn là ưu tiên hàng đầu. Tiếp tục theo dõi chặt chẽ tình hình dịch, nhất là sự xuất hiện của các biến chủng mới; tiêm vắc xin phòng COVID-19 theo hướng dẫn của Bộ Y tế, bảo đảm kế hoạch đề ra theo yêu cầu của Chính phủ, Thủ tướng Chính phủ.</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Chủ động công tác giám sát các bệnh truyền nhiễm; tăng cường giám sát tại cửa khẩu, các chuyến bay, đoàn tàu, các khu dịch vụ của Cảng hàng không, nhà ga, bến xe, khu vực công cộng khác và trong các cơ sở y tế để phát hiện sớm, điều trị kịp thời, hạn chế tối đa các trường hợp chuyển nặng, tử vong.</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Phân công cán bộ trực 24/24 giờ trong thời gian nghỉ Tết; chỉ đạo các đơn vị xây dựng kế hoạch phân công nhiệm vụ, thực hiện nghiêm công tác báo cáo dịch bệnh theo đúng quy định của Bộ Y tế.</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Chuẩn bị, dự trữ đầy đủ thuốc, vật tư, hóa chất, trang thiết bị y tế đảm bảo đáp ứng nhu cầu chống dịch khi xảy ra dịch bệnh trên địa bàn.</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Tăng cường kiểm tra, giám sát, theo dõi việc triển khai công tác phòng, chống dịch bệnh trong thời gian nghỉ Tết.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Về công tác khám, chữa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Chỉ đạo các cơ sở y tế trên địa bàn: (i) Rà soát, thực hiện nghiêm công tác phân luồng, phân tuyến hiệu quả, phân loại nguy cơ người bệnh ngay từ khi nhập viện. Đẩy mạnh hỗ trợ chuyên môn với các bệnh viện tuyến dưới; củng cố năng lực vận chuyển cấp cứu, chuyển tuyến người bệnh từ cộng đồng, bệnh viện tuyến dưới lên tuyến trên và giữa các bệnh viện trên địa bàn; (ii) Tăng cường ứng dụng công nghệ thông tin, bảo đảm điều kiện thiết bị, cơ sở vật chất cần thiết trong hội chẩn, tư vấn điều trị từ xa; (iii) Có phương án bảo đảm đủ cơ số thuốc, máu, dịch truyền, vật tư, hóa chất, thiết bị y tế, ô xy y tế; bố trí cơ số giường bệnh, phương tiện cấp cứu, sẵn sàng đáp ứng, phục vụ công tác điều trị, cấp cứu, nhất là cấp cứu tai nạn giao thông, pháo nổ, thương tích, ngộ độc thực phẩm và điều trị người bệnh mắc các bệnh truyền nhiễm trong dịp Tết; (iv) Quán triệt nhân viên y tế thực hiện tốt nội quy, quy định của bệnh viện, nâng cao ý thức phục vụ, văn hóa ứng xử với người bệnh và người nhà người bệnh khi đến khám, điều trị; (v) Thăm hỏi, chúc Tết người bệnh điều trị nội trú, đặc biệt người có hoàn cảnh khó khăn, người nghèo, người thuộc diện chính sách.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Chỉ đạo các cơ sở y tế tư nhân có kế hoạch phối hợp với cơ sở y tế công lập trên địa bàn tham gia triển khai công tác y tế đảm bảo đón Tết Nguyên Đán năm 2023; chuẩn bị các điều kiện cần thiết để tham gia phối hợp hoạt động khi có yêu cầu.</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lastRenderedPageBreak/>
        <w:t>- Vận động, huy động nguồn lực hỗ trợ; triển khai đầy đủ, kịp thời các chế độ, chính sách động viên cán bộ y tế trong dịp Tết, nhất là cán bộ y tế tham gia trực Tết.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Xây dựng và triển khai kế hoạch kiểm tra, giám sát việc thực hiện công tác khám, chữa bệnh tại các cơ sở y tế trên địa bàn.</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c) Về công tác an toàn thực phẩm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Phối hợp với Ban Chỉ đạo liên ngành vệ sinh an toàn thực phẩm, các Sở, ban, ngành liên quan triển khai phổ biến, tuyên truyền bảo đảm an toàn thực phẩm trong sản xuất, chế biến, kinh doanh, nhập khẩu và sử dụng thực phẩm; phòng, chống ngộ độc thực phẩm trong dịp Tết Nguyên Đán và Lễ hội Xuân năm 2023. Huy động các cơ quan thông tấn, báo chí truyền thông để phổ biến các quy định, kiến thức về an toàn thực phẩm bằng nhiều hình thức, phương tiện truyền thông thích hợp; trong đó chú trọng các đối tượng là người tiêu dùng thực phẩm, người nội trợ, người trực tiếp chọn mua, chế biến thực phẩm, người sản xuất, kinh doanh thực phẩm.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Phối hợp, tham gia các đoàn thanh tra, kiểm tra liên ngành về an toàn thực phẩm; tập trung vào các mặt hàng được sử dụng nhiều trong dịp Tết và trong các Lễ hội, các cơ sở kinh doanh dịch vụ ăn uống</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Thực hiện nghiêm công tác báo cáo, thống kê về an toàn thực phẩm; báo cáo kết quả về Bộ Y tế (Cục An toàn thực phẩm) theo đúng thời gian quy định.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d) Về công tác truyền thông</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Phối hợp với các đơn vị liên quan tổ chức thực hiện truyền thông, phổ biến kiến thức đến các đơn vị, người dân trên địa bàn về phòng, chống dịch bệnh; đẩy mạnh thông tin về tác dụng, hiệu quả của vắc xin trong ngăn ngừa bệnh nặng, tử vong; khuyến khích, vận động người dân tham gia tiêm chủng đầy đủ, đúng lịch; tuyệt đối không chủ quan, lơ là với dịch COVID-19. Khuyến cáo, khuyến khích người dân đeo khẩu trang, khử khuẩn nơi đông người trong dịp Tết Nguyên Đán và Lễ hội Xuân năm 2023 theo hướng dẫn của Bộ Y tế để phòng ngừa, hạn chế lây nhiễm dịch COVID-19 và các loại dịch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Tăng cường truyền thông để bảo đảm an toàn thực phẩm, không lạm dụng rượu, bia trong dịp Tết.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Chủ động cung cấp thông tin và phối hợp với các cơ quan báo chí tại địa phương để kịp thời thông tin về công tác y tế trong dịp Tết trên địa bàn.</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3. Các Viện Vệ sinh dịch tễ, Viện Pasteur</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xml:space="preserve">a) Theo dõi, phân tích, đánh giá tình hình dịch bệnh. Chỉ đạo, hỗ trợ, hướng dẫn các đơn vị, địa phương tăng cường giám sát, phát hiện sớm ca bệnh và xử lý ổ dịch </w:t>
      </w:r>
      <w:r w:rsidRPr="00DE358A">
        <w:rPr>
          <w:rFonts w:ascii="Times New Roman" w:eastAsia="Times New Roman" w:hAnsi="Times New Roman" w:cs="Times New Roman"/>
          <w:color w:val="050505"/>
          <w:sz w:val="28"/>
          <w:szCs w:val="28"/>
        </w:rPr>
        <w:lastRenderedPageBreak/>
        <w:t>kịp thời, triệt để; chủ động triển khai các biện pháp kiểm soát yếu tố nguy cơ gây dịch.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Bảo đảm điều kiện cần thiết triển khai đội phản ứng nhanh và các phương tiện, thiết bị, hóa chất, vật tư y tế cần thiết để sẵn sàng hỗ trợ địa phương đáp ứng với các tình huống dịch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4. Các Bệnh viện trực thuộc Bộ Y tế</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Nâng cao năng lực thu dung, điều trị; rà soát cơ sở vật chất, xây dựng và triển khai phương án bảo đảm đủ nhân lực, thuốc, máu, dịch truyền, vật tư, thiết bị, ô xy y tế, phương tiện cấp cứu để chủ động đáp ứng nhanh, kịp thời các tình huống điều trị người bệnh COVID-19, cấp cứu do tai nạn giao thông, ngộ độc thực phẩm, sinh đẻ trong những ngày Tết.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Thực hiện nghiêm các quy trình về sàng lọc, phân luồng, cách ly, đảm bảo công tác phòng, chống nhiễm khuẩn bệnh viện, không để lây nhiễm chéo; đẩy mạnh ứng dụng công nghệ thông tin trong việc tư vấn sức khỏe, đặt lịch khám và khám chữa bệnh từ xa. Duy trì và tổ chức tốt đội cơ động chống dịch, sẵn sàng hỗ trợ kịp thời đơn vị tuyến dưới khi có dịch bệnh xảy ra.</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5. Báo Sức khỏe và Đời sống, Trung tâm Truyền thông và Giáo dục sức khỏe Trung ương</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Thực hiện tốt thông tin, tuyên truyền về công tác y tế đảm bảo đón Tết Nguyên đán và Lễ hội Xuân 2023 bằng các hình thức đa dạng, phong phú, hấp dẫn. Tăng cường thực hiện công tác truyền thông giáo dục sức khỏe trong dịp Tết Nguyên đán; vận động người dân chủ động thực hiện an toàn vệ sinh thực phẩm, phòng chống ngộ độc thực phẩm, phòng chống dịch, bệnh và nâng cao sức khỏe.</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Phối hợp với Văn phòng Bộ và các Vụ, Cục liên quan tổng hợp thông tin y tế trong dịp Tết trên các phương tiện thông tin đại chúng, đề xuất, báo cáo Lãnh đạo Bộ để chủ động, kịp thời xử lý khi cần thiết.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6. Cục Y tế dự phòng</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Theo dõi, bám sát tình hình dịch bệnh trong nước, quốc tế để sẵn sàng ứng phó với các tình huống dịch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xml:space="preserve">b) Chỉ đạo các đơn vị, địa phương: (i) Tăng cường các biện pháp đảm bảo phòng, chống dịch bệnh; đặc biệt đối với dịch COVID-19, các bệnh truyền nhiễm mùa Đông - Xuân, dịch bệnh thường xảy ra vào dịp Tết và mùa lễ hội các dịch bệnh nguy hiểm mới nổi; sẵn sàng ứng phó với các tình huống có thể xảy ra của dịch bệnh; (ii) Tăng cường theo dõi, giám sát tại cửa khẩu và tại cộng đồng, phát hiện sớm, đáp ứng nhanh, kịp thời và xử lý triệt để các ổ dịch bệnh truyền nhiễm, không để lây lan rộng, bùng phát kéo dài tại cộng đồng; (iii) Tiếp tục thúc đẩy công tác </w:t>
      </w:r>
      <w:r w:rsidRPr="00DE358A">
        <w:rPr>
          <w:rFonts w:ascii="Times New Roman" w:eastAsia="Times New Roman" w:hAnsi="Times New Roman" w:cs="Times New Roman"/>
          <w:color w:val="050505"/>
          <w:sz w:val="28"/>
          <w:szCs w:val="28"/>
        </w:rPr>
        <w:lastRenderedPageBreak/>
        <w:t>tiêm chủng vắc xin phòng COVID-19 cho các nhóm đối tượng theo hướng dẫn của Bộ Y tế đảm bảo đúng kế hoạch đề ra theo yêu cầu của Chính phủ, Thủ tướng Chính phủ; tăng cường các biện pháp truyền thông trong phòng, chống dịch bệnh và tiêm chủng cho trẻ em đúng độ tuổi; (iv) Củng cố, tổ chức tập huấn, diễn tập, sẵn sàng triển khai các đội đáp ứng nhanh phòng, chống dịch; (v) Xây dựng kế hoạch, dự trữ đủ thuốc, vật tư, hóa chất, thiết bị, phương tiện đảm bảo đáp ứng các yêu cầu trong phòng, chống dịch.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c) Chỉ đạo các Viện Vệ sinh dịch tễ, Viện Pasteur, Trung tâm kiểm soát bệnh tật tỉnh, thành phố xây dựng và triển khai các phương án, kịch bản phòng, chống dịch trong dịp Tết; nâng cao năng lực đội phản ứng nhanh để kịp thời đáp ứng, không để bị động, bất ngờ trước các tình huống dịch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d) Tổ chức các đoàn kiểm tra, giám sát các đơn vị y tế dự phòng trong việc triển khai các biện pháp phòng, chống dịch bệnh, tiêm chủng theo quy định của Bộ Y tế.</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7. Cục Quản lý Khám, chữa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Chỉ đạo các cơ sở khám bệnh, chữa bệnh trên toàn quốc: Đảm bảo hiệu quả công tác khám, chữa bệnh, tổ chức trực 24/24 giờ; chủ động các phương án sẵn sàng nhân lực, thuốc, trang thiết bị, sinh phẩm y tế bảo đảm khám, cấp cứu, nhất là cấp cứu tai nạn giao thông, pháo nổ, thương tích, ngộ độc thực phẩm và điều trị người bệnh mắc các bệnh truyền nhiễm trong dịp Tết. Thực hiện công tác hỗ trợ tư vấn, khám chữa bệnh từ xa; sàng lọc, phân loại, phân luồng người bệnh đến khám, chữa bệnh; triển khai hiệu quả việc phân tuyến, phân luồng, thu dung, cấp cứu, điều trị bệnh nhân, tránh lây nhiễm chéo trong các cơ sở khám bệnh, chữa bệnh, hạn chế đến mức thấp nhất tử vong ở người do dịch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Tổ chức các đoàn kiểm tra, giám sát các cơ sở khám, chữa bệnh trong việc triển khai các công tác khám, chữa bệnh theo quy định của Bộ Y tế.</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8. Cục An toàn thực phẩm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Chỉ đạo, hướng dẫn các đơn vị, địa phương đẩy mạnh công tác tuyên truyền, phổ biến các quy định pháp luật, kiến thức về an toàn thực phẩm để nâng cao nhận thức, ý thức của cộng đồng trong bảo đảm an toàn thực phẩm.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Tăng cường thanh tra, kiểm tra liên ngành, giám sát chặt chẽ, bảo đảm tốt công tác an toàn thực phẩm trong thời gian trước, trong và sau Tết, tập trung vào các nhóm sản phẩm thực phẩm tiêu thụ nhiều trong dịp Tết và Lễ hội. Phối hợp Ban chỉ đạo liên ngành về an toàn thực phẩm từ trung ương đến địa phương, với các cơ quan chức năng trong công tác kiểm tra, giám sát bảo đảm an toàn thực phẩm. Tăng cường phòng ngừa, chủ động xử lý ngộ độc thực phẩm và các bệnh truyền qua thực phẩm.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lastRenderedPageBreak/>
        <w:t>9. Cục Quản lý Dược</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Chỉ đạo các Sở Y tế tỉnh, thành phố, Bệnh viện, Viện trực thuộc Bộ Y tế và các công ty xuất khẩu, nhập khẩu, sản xuất thuốc có kế hoạch đảm bảo cung ứng đủ thuốc, triển khai kế hoạch dự trữ đầy đủ, không để xảy ra tình trạng khan hiếm, thiếu thuốc phục vụ công tác khám, chữa bệnh, nhất là các thuốc điều trị các bệnh thường xảy ra trong mùa Đông-Xuân như: Sốt xuất huyết, cúm A, tay chân miệng, sởi, rubella, tiêu chảy do vi rút rota, các bệnh lây truyền qua đường hô hấp, tiêu hóa...</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Chỉ đạo các Sở Y tế tỉnh, thành phố phối hợp với các đơn vị liên quan tăng cường công tác phát hiện thuốc giả, thuốc kém chất lượng, thuốc không được phép lưu hành; không để xảy ra tình trạng đầu cơ, găm hàng, tăng giá đột biến, xử lý nghiêm các trường hợp được phát hiện.</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10. Cục Quản lý Môi trường y tế</w:t>
      </w:r>
      <w:r w:rsidRPr="00DE358A">
        <w:rPr>
          <w:rFonts w:ascii="Times New Roman" w:eastAsia="Times New Roman" w:hAnsi="Times New Roman" w:cs="Times New Roman"/>
          <w:color w:val="050505"/>
          <w:sz w:val="28"/>
          <w:szCs w:val="28"/>
        </w:rPr>
        <w:t> chỉ đạo Sở Y tế tỉnh, thành phố, các đơn vị trực thuộc Bộ Y tế và các đơn vị liên quan bảo đảm vệ sinh môi trường, chất lượng nước và quản lý chất thải y tế theo đúng quy định.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11. Cục Phòng, chống HIV/AIDS</w:t>
      </w:r>
      <w:r w:rsidRPr="00DE358A">
        <w:rPr>
          <w:rFonts w:ascii="Times New Roman" w:eastAsia="Times New Roman" w:hAnsi="Times New Roman" w:cs="Times New Roman"/>
          <w:color w:val="050505"/>
          <w:sz w:val="28"/>
          <w:szCs w:val="28"/>
        </w:rPr>
        <w:t> phối hợp với Cục Quản lý Khám, chữa bệnh và Sở Y tế tỉnh, thành phố chỉ đạo các cơ sở điều trị nghiện các chất dạng thuốc phiện bằng thuốc methadone, các cơ sở điều trị kháng vi rút HIV bằng thuốc ARV bố trí cán bộ y tế, đảm bảo đủ thuốc để cung cấp kịp thời, liên tục thuốc cho bệnh nhân trong dịp Tết.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12. Văn phòng Bộ</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Tổng hợp báo cáo về thực hiện công tác y tế theo chức năng, nhiệm vụ được giao trong dịp Tết Nguyên Đán năm 2023, báo cáo Bộ Y tế, Văn phòng Chính phủ theo đúng quy định; phối hợp với Văn phòng Ban cán sự đảng báo cáo công tác y tế trong dịp Tết Nguyên Đán năm 2023 gửi Văn phòng Trung ương Đảng theo quy định.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Chỉ đạo các đơn vị, địa phương tăng cường công tác truyền thông, giáo dục sức khỏe trong dịp Tết. Phối hợp chặt chẽ với các cơ quan truyền thông, báo chí để cung cấp thông tin; mời tham gia các hoạt động công tác y tế trong dịp Tết của Bộ Y tế; tổng hợp thông tin y tế hằng ngày, báo cáo Bộ Y tế để chủ động xử lý kịp thời.</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c) Đảm bảo thực hiện tốt công tác hậu cần, trực Tết tại cơ quan Bộ Y tế theo đúng quy định.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13. Đề nghị Công đoàn Y tế Việt Nam</w:t>
      </w:r>
      <w:r w:rsidRPr="00DE358A">
        <w:rPr>
          <w:rFonts w:ascii="Times New Roman" w:eastAsia="Times New Roman" w:hAnsi="Times New Roman" w:cs="Times New Roman"/>
          <w:color w:val="050505"/>
          <w:sz w:val="28"/>
          <w:szCs w:val="28"/>
        </w:rPr>
        <w:t xml:space="preserve"> tập trung tổ chức các hoạt động cụ thể chăm lo tốt hơn đời sống vật chất, tinh thần cho đoàn viên, cán bộ, công chức, viên </w:t>
      </w:r>
      <w:r w:rsidRPr="00DE358A">
        <w:rPr>
          <w:rFonts w:ascii="Times New Roman" w:eastAsia="Times New Roman" w:hAnsi="Times New Roman" w:cs="Times New Roman"/>
          <w:color w:val="050505"/>
          <w:sz w:val="28"/>
          <w:szCs w:val="28"/>
        </w:rPr>
        <w:lastRenderedPageBreak/>
        <w:t>chức, người lao động ngành Y tế, nhất là cán bộ y tế bị ảnh hưởng bởi dịch COVID-19, có hoàn cảnh khó khăn.</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14. Công tác báo cáo</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Cục trưởng: Cục Y tế dự phòng, Cục Quản lý Khám, chữa bệnh, Cục An toàn thực phẩm, Cục Quản lý Dược chỉ đạo việc tổ chức thường trực báo cáo, tổng hợp số liệu báo cáo từ các Viện Vệ sinh dịch tễ, Viện Pasteur, Sở Y tế các tỉnh, thành phố trực thuộc Trung ương, các bệnh viện trực thuộc Bộ và các đơn vị liên quan theo lĩnh vực chuyên môn và gửi về Văn phòng Bộ; các nội dung báo cáo gồm: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Cục Y tế dự phòng báo cáo về tình hình dịch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Cục Quản lý Khám, chữa bệnh báo cáo tình hình khám, cấp cứu tại các cơ sở y tế, tình hình cấp cứu các trường hợp tai nạn giao thông, tai nạn thương tích, tai nạn do cháy nổ, do pháo, ngộ độc...;</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Cục An toàn thực phẩm báo cáo về tình hình ngộ độc thực phẩm và các hoạt động bảo đảm an toàn thực phẩm;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Cục Quản lý Dược báo cáo về tình hình cung ứng thuốc cho công tác khám, chữa bệnh trong dịp Tết;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Cục Quản lý Môi trường y tế báo cáo về tình hình chất lượng nước trong trường hợp có tình huống phát sinh;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Cục Phòng, chống HIV/AIDS báo cáo về công tác phòng, chống HIV/AIDS trong dịp Tết.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Các Viện Vệ sinh dịch tễ, Viện Pasteur, Sở Y tế các tỉnh, thành phố trực thuộc Trung ương, các bệnh viện Trung ương tổng hợp các số liệu báo cáo về công tác phòng chống dịch bệnh, an toàn thực phẩm, khám chữa bệnh, xử trí cấp cứu, dược gửi về các Cục chức năng của Bộ Y tế theo từng lĩnh vực quản lý.</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c) Chánh Văn phòng Bộ chỉ đạo tổng hợp báo cáo nhanh và báo cáo đầy đủ, trình Bộ Y tế ký gửi Văn phòng Chính phủ đúng thời gian quy định.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15. Tổ chức thực hiện</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Đề nghị Ủy ban nhân dân tỉnh, thành phố trực thuộc Trung ương chỉ đạo Sở Y tế phối hợp với các sở, ban, ngành liên quan tại địa phương triển khai nghiêm túc Chỉ thị này.</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Thủ trưởng các cơ quan, đơn vị thuộc và trực thuộc Bộ Y tế chủ trì, phối hợp thực hiện các nhiệm vụ được giao tại Chỉ thị này theo đúng chức năng, nhiệm vụ, quyền hạn và chịu trách nhiệm trước Bộ Y tế về việc thực thi nhiệm vụ, trách nhiệm được giao.</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lastRenderedPageBreak/>
        <w:t>c) Giám đốc Sở Y tế các tỉnh, thành phố trực thuộc Trung ương tổ chức thực hiện nghiêm túc các nhiệm vụ được giao tại Chỉ thị này; nếu có phát sinh vướng mắc, kịp thời phản ánh về Bộ Y tế chỉ đạo xử lý kịp thời.</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d) Giao Văn phòng Bộ theo dõi, đôn đốc, tổng hợp báo cáo Bộ Y tế việc thực hiện Chỉ thị này.</w:t>
      </w:r>
    </w:p>
    <w:p w:rsidR="00D44E34" w:rsidRPr="00DE358A" w:rsidRDefault="00D44E34">
      <w:pPr>
        <w:rPr>
          <w:rFonts w:ascii="Times New Roman" w:hAnsi="Times New Roman" w:cs="Times New Roman"/>
          <w:sz w:val="28"/>
          <w:szCs w:val="28"/>
        </w:rPr>
      </w:pPr>
    </w:p>
    <w:sectPr w:rsidR="00D44E34" w:rsidRPr="00DE3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8A"/>
    <w:rsid w:val="00CA61F7"/>
    <w:rsid w:val="00D44E34"/>
    <w:rsid w:val="00DE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D3EFD-B5BA-4149-A484-0D7BFF0B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93iq5w">
    <w:name w:val="x193iq5w"/>
    <w:basedOn w:val="DefaultParagraphFont"/>
    <w:rsid w:val="00DE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55476">
      <w:bodyDiv w:val="1"/>
      <w:marLeft w:val="0"/>
      <w:marRight w:val="0"/>
      <w:marTop w:val="0"/>
      <w:marBottom w:val="0"/>
      <w:divBdr>
        <w:top w:val="none" w:sz="0" w:space="0" w:color="auto"/>
        <w:left w:val="none" w:sz="0" w:space="0" w:color="auto"/>
        <w:bottom w:val="none" w:sz="0" w:space="0" w:color="auto"/>
        <w:right w:val="none" w:sz="0" w:space="0" w:color="auto"/>
      </w:divBdr>
      <w:divsChild>
        <w:div w:id="599030169">
          <w:marLeft w:val="0"/>
          <w:marRight w:val="0"/>
          <w:marTop w:val="0"/>
          <w:marBottom w:val="120"/>
          <w:divBdr>
            <w:top w:val="none" w:sz="0" w:space="0" w:color="auto"/>
            <w:left w:val="none" w:sz="0" w:space="0" w:color="auto"/>
            <w:bottom w:val="none" w:sz="0" w:space="0" w:color="auto"/>
            <w:right w:val="none" w:sz="0" w:space="0" w:color="auto"/>
          </w:divBdr>
        </w:div>
        <w:div w:id="265844820">
          <w:marLeft w:val="0"/>
          <w:marRight w:val="0"/>
          <w:marTop w:val="0"/>
          <w:marBottom w:val="120"/>
          <w:divBdr>
            <w:top w:val="none" w:sz="0" w:space="0" w:color="auto"/>
            <w:left w:val="none" w:sz="0" w:space="0" w:color="auto"/>
            <w:bottom w:val="none" w:sz="0" w:space="0" w:color="auto"/>
            <w:right w:val="none" w:sz="0" w:space="0" w:color="auto"/>
          </w:divBdr>
        </w:div>
        <w:div w:id="1550611178">
          <w:marLeft w:val="0"/>
          <w:marRight w:val="0"/>
          <w:marTop w:val="0"/>
          <w:marBottom w:val="120"/>
          <w:divBdr>
            <w:top w:val="none" w:sz="0" w:space="0" w:color="auto"/>
            <w:left w:val="none" w:sz="0" w:space="0" w:color="auto"/>
            <w:bottom w:val="none" w:sz="0" w:space="0" w:color="auto"/>
            <w:right w:val="none" w:sz="0" w:space="0" w:color="auto"/>
          </w:divBdr>
        </w:div>
        <w:div w:id="776297449">
          <w:marLeft w:val="0"/>
          <w:marRight w:val="0"/>
          <w:marTop w:val="0"/>
          <w:marBottom w:val="120"/>
          <w:divBdr>
            <w:top w:val="none" w:sz="0" w:space="0" w:color="auto"/>
            <w:left w:val="none" w:sz="0" w:space="0" w:color="auto"/>
            <w:bottom w:val="none" w:sz="0" w:space="0" w:color="auto"/>
            <w:right w:val="none" w:sz="0" w:space="0" w:color="auto"/>
          </w:divBdr>
        </w:div>
        <w:div w:id="468982255">
          <w:marLeft w:val="0"/>
          <w:marRight w:val="0"/>
          <w:marTop w:val="0"/>
          <w:marBottom w:val="120"/>
          <w:divBdr>
            <w:top w:val="none" w:sz="0" w:space="0" w:color="auto"/>
            <w:left w:val="none" w:sz="0" w:space="0" w:color="auto"/>
            <w:bottom w:val="none" w:sz="0" w:space="0" w:color="auto"/>
            <w:right w:val="none" w:sz="0" w:space="0" w:color="auto"/>
          </w:divBdr>
        </w:div>
        <w:div w:id="1797214814">
          <w:marLeft w:val="0"/>
          <w:marRight w:val="0"/>
          <w:marTop w:val="0"/>
          <w:marBottom w:val="120"/>
          <w:divBdr>
            <w:top w:val="none" w:sz="0" w:space="0" w:color="auto"/>
            <w:left w:val="none" w:sz="0" w:space="0" w:color="auto"/>
            <w:bottom w:val="none" w:sz="0" w:space="0" w:color="auto"/>
            <w:right w:val="none" w:sz="0" w:space="0" w:color="auto"/>
          </w:divBdr>
        </w:div>
        <w:div w:id="86001490">
          <w:marLeft w:val="0"/>
          <w:marRight w:val="0"/>
          <w:marTop w:val="0"/>
          <w:marBottom w:val="120"/>
          <w:divBdr>
            <w:top w:val="none" w:sz="0" w:space="0" w:color="auto"/>
            <w:left w:val="none" w:sz="0" w:space="0" w:color="auto"/>
            <w:bottom w:val="none" w:sz="0" w:space="0" w:color="auto"/>
            <w:right w:val="none" w:sz="0" w:space="0" w:color="auto"/>
          </w:divBdr>
        </w:div>
        <w:div w:id="580527283">
          <w:marLeft w:val="0"/>
          <w:marRight w:val="0"/>
          <w:marTop w:val="0"/>
          <w:marBottom w:val="120"/>
          <w:divBdr>
            <w:top w:val="none" w:sz="0" w:space="0" w:color="auto"/>
            <w:left w:val="none" w:sz="0" w:space="0" w:color="auto"/>
            <w:bottom w:val="none" w:sz="0" w:space="0" w:color="auto"/>
            <w:right w:val="none" w:sz="0" w:space="0" w:color="auto"/>
          </w:divBdr>
        </w:div>
        <w:div w:id="44260676">
          <w:marLeft w:val="0"/>
          <w:marRight w:val="0"/>
          <w:marTop w:val="0"/>
          <w:marBottom w:val="120"/>
          <w:divBdr>
            <w:top w:val="none" w:sz="0" w:space="0" w:color="auto"/>
            <w:left w:val="none" w:sz="0" w:space="0" w:color="auto"/>
            <w:bottom w:val="none" w:sz="0" w:space="0" w:color="auto"/>
            <w:right w:val="none" w:sz="0" w:space="0" w:color="auto"/>
          </w:divBdr>
        </w:div>
        <w:div w:id="721908464">
          <w:marLeft w:val="0"/>
          <w:marRight w:val="0"/>
          <w:marTop w:val="0"/>
          <w:marBottom w:val="120"/>
          <w:divBdr>
            <w:top w:val="none" w:sz="0" w:space="0" w:color="auto"/>
            <w:left w:val="none" w:sz="0" w:space="0" w:color="auto"/>
            <w:bottom w:val="none" w:sz="0" w:space="0" w:color="auto"/>
            <w:right w:val="none" w:sz="0" w:space="0" w:color="auto"/>
          </w:divBdr>
        </w:div>
        <w:div w:id="472525902">
          <w:marLeft w:val="0"/>
          <w:marRight w:val="0"/>
          <w:marTop w:val="0"/>
          <w:marBottom w:val="120"/>
          <w:divBdr>
            <w:top w:val="none" w:sz="0" w:space="0" w:color="auto"/>
            <w:left w:val="none" w:sz="0" w:space="0" w:color="auto"/>
            <w:bottom w:val="none" w:sz="0" w:space="0" w:color="auto"/>
            <w:right w:val="none" w:sz="0" w:space="0" w:color="auto"/>
          </w:divBdr>
        </w:div>
        <w:div w:id="881819312">
          <w:marLeft w:val="0"/>
          <w:marRight w:val="0"/>
          <w:marTop w:val="0"/>
          <w:marBottom w:val="120"/>
          <w:divBdr>
            <w:top w:val="none" w:sz="0" w:space="0" w:color="auto"/>
            <w:left w:val="none" w:sz="0" w:space="0" w:color="auto"/>
            <w:bottom w:val="none" w:sz="0" w:space="0" w:color="auto"/>
            <w:right w:val="none" w:sz="0" w:space="0" w:color="auto"/>
          </w:divBdr>
        </w:div>
        <w:div w:id="1244414176">
          <w:marLeft w:val="0"/>
          <w:marRight w:val="0"/>
          <w:marTop w:val="0"/>
          <w:marBottom w:val="120"/>
          <w:divBdr>
            <w:top w:val="none" w:sz="0" w:space="0" w:color="auto"/>
            <w:left w:val="none" w:sz="0" w:space="0" w:color="auto"/>
            <w:bottom w:val="none" w:sz="0" w:space="0" w:color="auto"/>
            <w:right w:val="none" w:sz="0" w:space="0" w:color="auto"/>
          </w:divBdr>
        </w:div>
        <w:div w:id="1626307876">
          <w:marLeft w:val="0"/>
          <w:marRight w:val="0"/>
          <w:marTop w:val="0"/>
          <w:marBottom w:val="120"/>
          <w:divBdr>
            <w:top w:val="none" w:sz="0" w:space="0" w:color="auto"/>
            <w:left w:val="none" w:sz="0" w:space="0" w:color="auto"/>
            <w:bottom w:val="none" w:sz="0" w:space="0" w:color="auto"/>
            <w:right w:val="none" w:sz="0" w:space="0" w:color="auto"/>
          </w:divBdr>
        </w:div>
        <w:div w:id="195196490">
          <w:marLeft w:val="0"/>
          <w:marRight w:val="0"/>
          <w:marTop w:val="0"/>
          <w:marBottom w:val="120"/>
          <w:divBdr>
            <w:top w:val="none" w:sz="0" w:space="0" w:color="auto"/>
            <w:left w:val="none" w:sz="0" w:space="0" w:color="auto"/>
            <w:bottom w:val="none" w:sz="0" w:space="0" w:color="auto"/>
            <w:right w:val="none" w:sz="0" w:space="0" w:color="auto"/>
          </w:divBdr>
        </w:div>
        <w:div w:id="466167307">
          <w:marLeft w:val="0"/>
          <w:marRight w:val="0"/>
          <w:marTop w:val="0"/>
          <w:marBottom w:val="120"/>
          <w:divBdr>
            <w:top w:val="none" w:sz="0" w:space="0" w:color="auto"/>
            <w:left w:val="none" w:sz="0" w:space="0" w:color="auto"/>
            <w:bottom w:val="none" w:sz="0" w:space="0" w:color="auto"/>
            <w:right w:val="none" w:sz="0" w:space="0" w:color="auto"/>
          </w:divBdr>
        </w:div>
        <w:div w:id="101340316">
          <w:marLeft w:val="0"/>
          <w:marRight w:val="0"/>
          <w:marTop w:val="0"/>
          <w:marBottom w:val="120"/>
          <w:divBdr>
            <w:top w:val="none" w:sz="0" w:space="0" w:color="auto"/>
            <w:left w:val="none" w:sz="0" w:space="0" w:color="auto"/>
            <w:bottom w:val="none" w:sz="0" w:space="0" w:color="auto"/>
            <w:right w:val="none" w:sz="0" w:space="0" w:color="auto"/>
          </w:divBdr>
        </w:div>
        <w:div w:id="2044012566">
          <w:marLeft w:val="0"/>
          <w:marRight w:val="0"/>
          <w:marTop w:val="0"/>
          <w:marBottom w:val="120"/>
          <w:divBdr>
            <w:top w:val="none" w:sz="0" w:space="0" w:color="auto"/>
            <w:left w:val="none" w:sz="0" w:space="0" w:color="auto"/>
            <w:bottom w:val="none" w:sz="0" w:space="0" w:color="auto"/>
            <w:right w:val="none" w:sz="0" w:space="0" w:color="auto"/>
          </w:divBdr>
        </w:div>
        <w:div w:id="1721199873">
          <w:marLeft w:val="0"/>
          <w:marRight w:val="0"/>
          <w:marTop w:val="0"/>
          <w:marBottom w:val="120"/>
          <w:divBdr>
            <w:top w:val="none" w:sz="0" w:space="0" w:color="auto"/>
            <w:left w:val="none" w:sz="0" w:space="0" w:color="auto"/>
            <w:bottom w:val="none" w:sz="0" w:space="0" w:color="auto"/>
            <w:right w:val="none" w:sz="0" w:space="0" w:color="auto"/>
          </w:divBdr>
        </w:div>
        <w:div w:id="1573271311">
          <w:marLeft w:val="0"/>
          <w:marRight w:val="0"/>
          <w:marTop w:val="0"/>
          <w:marBottom w:val="120"/>
          <w:divBdr>
            <w:top w:val="none" w:sz="0" w:space="0" w:color="auto"/>
            <w:left w:val="none" w:sz="0" w:space="0" w:color="auto"/>
            <w:bottom w:val="none" w:sz="0" w:space="0" w:color="auto"/>
            <w:right w:val="none" w:sz="0" w:space="0" w:color="auto"/>
          </w:divBdr>
        </w:div>
        <w:div w:id="1594631903">
          <w:marLeft w:val="0"/>
          <w:marRight w:val="0"/>
          <w:marTop w:val="0"/>
          <w:marBottom w:val="120"/>
          <w:divBdr>
            <w:top w:val="none" w:sz="0" w:space="0" w:color="auto"/>
            <w:left w:val="none" w:sz="0" w:space="0" w:color="auto"/>
            <w:bottom w:val="none" w:sz="0" w:space="0" w:color="auto"/>
            <w:right w:val="none" w:sz="0" w:space="0" w:color="auto"/>
          </w:divBdr>
        </w:div>
        <w:div w:id="1046830078">
          <w:marLeft w:val="0"/>
          <w:marRight w:val="0"/>
          <w:marTop w:val="0"/>
          <w:marBottom w:val="120"/>
          <w:divBdr>
            <w:top w:val="none" w:sz="0" w:space="0" w:color="auto"/>
            <w:left w:val="none" w:sz="0" w:space="0" w:color="auto"/>
            <w:bottom w:val="none" w:sz="0" w:space="0" w:color="auto"/>
            <w:right w:val="none" w:sz="0" w:space="0" w:color="auto"/>
          </w:divBdr>
        </w:div>
        <w:div w:id="1134756936">
          <w:marLeft w:val="0"/>
          <w:marRight w:val="0"/>
          <w:marTop w:val="0"/>
          <w:marBottom w:val="120"/>
          <w:divBdr>
            <w:top w:val="none" w:sz="0" w:space="0" w:color="auto"/>
            <w:left w:val="none" w:sz="0" w:space="0" w:color="auto"/>
            <w:bottom w:val="none" w:sz="0" w:space="0" w:color="auto"/>
            <w:right w:val="none" w:sz="0" w:space="0" w:color="auto"/>
          </w:divBdr>
        </w:div>
        <w:div w:id="1206797471">
          <w:marLeft w:val="0"/>
          <w:marRight w:val="0"/>
          <w:marTop w:val="0"/>
          <w:marBottom w:val="120"/>
          <w:divBdr>
            <w:top w:val="none" w:sz="0" w:space="0" w:color="auto"/>
            <w:left w:val="none" w:sz="0" w:space="0" w:color="auto"/>
            <w:bottom w:val="none" w:sz="0" w:space="0" w:color="auto"/>
            <w:right w:val="none" w:sz="0" w:space="0" w:color="auto"/>
          </w:divBdr>
        </w:div>
        <w:div w:id="886918700">
          <w:marLeft w:val="0"/>
          <w:marRight w:val="0"/>
          <w:marTop w:val="0"/>
          <w:marBottom w:val="120"/>
          <w:divBdr>
            <w:top w:val="none" w:sz="0" w:space="0" w:color="auto"/>
            <w:left w:val="none" w:sz="0" w:space="0" w:color="auto"/>
            <w:bottom w:val="none" w:sz="0" w:space="0" w:color="auto"/>
            <w:right w:val="none" w:sz="0" w:space="0" w:color="auto"/>
          </w:divBdr>
        </w:div>
        <w:div w:id="451705521">
          <w:marLeft w:val="0"/>
          <w:marRight w:val="0"/>
          <w:marTop w:val="0"/>
          <w:marBottom w:val="120"/>
          <w:divBdr>
            <w:top w:val="none" w:sz="0" w:space="0" w:color="auto"/>
            <w:left w:val="none" w:sz="0" w:space="0" w:color="auto"/>
            <w:bottom w:val="none" w:sz="0" w:space="0" w:color="auto"/>
            <w:right w:val="none" w:sz="0" w:space="0" w:color="auto"/>
          </w:divBdr>
        </w:div>
        <w:div w:id="2057241907">
          <w:marLeft w:val="0"/>
          <w:marRight w:val="0"/>
          <w:marTop w:val="0"/>
          <w:marBottom w:val="120"/>
          <w:divBdr>
            <w:top w:val="none" w:sz="0" w:space="0" w:color="auto"/>
            <w:left w:val="none" w:sz="0" w:space="0" w:color="auto"/>
            <w:bottom w:val="none" w:sz="0" w:space="0" w:color="auto"/>
            <w:right w:val="none" w:sz="0" w:space="0" w:color="auto"/>
          </w:divBdr>
        </w:div>
        <w:div w:id="171185993">
          <w:marLeft w:val="0"/>
          <w:marRight w:val="0"/>
          <w:marTop w:val="0"/>
          <w:marBottom w:val="120"/>
          <w:divBdr>
            <w:top w:val="none" w:sz="0" w:space="0" w:color="auto"/>
            <w:left w:val="none" w:sz="0" w:space="0" w:color="auto"/>
            <w:bottom w:val="none" w:sz="0" w:space="0" w:color="auto"/>
            <w:right w:val="none" w:sz="0" w:space="0" w:color="auto"/>
          </w:divBdr>
        </w:div>
        <w:div w:id="1557931007">
          <w:marLeft w:val="0"/>
          <w:marRight w:val="0"/>
          <w:marTop w:val="0"/>
          <w:marBottom w:val="120"/>
          <w:divBdr>
            <w:top w:val="none" w:sz="0" w:space="0" w:color="auto"/>
            <w:left w:val="none" w:sz="0" w:space="0" w:color="auto"/>
            <w:bottom w:val="none" w:sz="0" w:space="0" w:color="auto"/>
            <w:right w:val="none" w:sz="0" w:space="0" w:color="auto"/>
          </w:divBdr>
        </w:div>
        <w:div w:id="1985238469">
          <w:marLeft w:val="0"/>
          <w:marRight w:val="0"/>
          <w:marTop w:val="0"/>
          <w:marBottom w:val="120"/>
          <w:divBdr>
            <w:top w:val="none" w:sz="0" w:space="0" w:color="auto"/>
            <w:left w:val="none" w:sz="0" w:space="0" w:color="auto"/>
            <w:bottom w:val="none" w:sz="0" w:space="0" w:color="auto"/>
            <w:right w:val="none" w:sz="0" w:space="0" w:color="auto"/>
          </w:divBdr>
        </w:div>
        <w:div w:id="112292539">
          <w:marLeft w:val="0"/>
          <w:marRight w:val="0"/>
          <w:marTop w:val="0"/>
          <w:marBottom w:val="120"/>
          <w:divBdr>
            <w:top w:val="none" w:sz="0" w:space="0" w:color="auto"/>
            <w:left w:val="none" w:sz="0" w:space="0" w:color="auto"/>
            <w:bottom w:val="none" w:sz="0" w:space="0" w:color="auto"/>
            <w:right w:val="none" w:sz="0" w:space="0" w:color="auto"/>
          </w:divBdr>
        </w:div>
        <w:div w:id="154154764">
          <w:marLeft w:val="0"/>
          <w:marRight w:val="0"/>
          <w:marTop w:val="0"/>
          <w:marBottom w:val="120"/>
          <w:divBdr>
            <w:top w:val="none" w:sz="0" w:space="0" w:color="auto"/>
            <w:left w:val="none" w:sz="0" w:space="0" w:color="auto"/>
            <w:bottom w:val="none" w:sz="0" w:space="0" w:color="auto"/>
            <w:right w:val="none" w:sz="0" w:space="0" w:color="auto"/>
          </w:divBdr>
        </w:div>
        <w:div w:id="1413698006">
          <w:marLeft w:val="0"/>
          <w:marRight w:val="0"/>
          <w:marTop w:val="0"/>
          <w:marBottom w:val="120"/>
          <w:divBdr>
            <w:top w:val="none" w:sz="0" w:space="0" w:color="auto"/>
            <w:left w:val="none" w:sz="0" w:space="0" w:color="auto"/>
            <w:bottom w:val="none" w:sz="0" w:space="0" w:color="auto"/>
            <w:right w:val="none" w:sz="0" w:space="0" w:color="auto"/>
          </w:divBdr>
        </w:div>
        <w:div w:id="576397965">
          <w:marLeft w:val="0"/>
          <w:marRight w:val="0"/>
          <w:marTop w:val="0"/>
          <w:marBottom w:val="120"/>
          <w:divBdr>
            <w:top w:val="none" w:sz="0" w:space="0" w:color="auto"/>
            <w:left w:val="none" w:sz="0" w:space="0" w:color="auto"/>
            <w:bottom w:val="none" w:sz="0" w:space="0" w:color="auto"/>
            <w:right w:val="none" w:sz="0" w:space="0" w:color="auto"/>
          </w:divBdr>
        </w:div>
        <w:div w:id="2126196079">
          <w:marLeft w:val="0"/>
          <w:marRight w:val="0"/>
          <w:marTop w:val="0"/>
          <w:marBottom w:val="120"/>
          <w:divBdr>
            <w:top w:val="none" w:sz="0" w:space="0" w:color="auto"/>
            <w:left w:val="none" w:sz="0" w:space="0" w:color="auto"/>
            <w:bottom w:val="none" w:sz="0" w:space="0" w:color="auto"/>
            <w:right w:val="none" w:sz="0" w:space="0" w:color="auto"/>
          </w:divBdr>
        </w:div>
        <w:div w:id="2131588924">
          <w:marLeft w:val="0"/>
          <w:marRight w:val="0"/>
          <w:marTop w:val="0"/>
          <w:marBottom w:val="120"/>
          <w:divBdr>
            <w:top w:val="none" w:sz="0" w:space="0" w:color="auto"/>
            <w:left w:val="none" w:sz="0" w:space="0" w:color="auto"/>
            <w:bottom w:val="none" w:sz="0" w:space="0" w:color="auto"/>
            <w:right w:val="none" w:sz="0" w:space="0" w:color="auto"/>
          </w:divBdr>
        </w:div>
        <w:div w:id="1638874188">
          <w:marLeft w:val="0"/>
          <w:marRight w:val="0"/>
          <w:marTop w:val="0"/>
          <w:marBottom w:val="120"/>
          <w:divBdr>
            <w:top w:val="none" w:sz="0" w:space="0" w:color="auto"/>
            <w:left w:val="none" w:sz="0" w:space="0" w:color="auto"/>
            <w:bottom w:val="none" w:sz="0" w:space="0" w:color="auto"/>
            <w:right w:val="none" w:sz="0" w:space="0" w:color="auto"/>
          </w:divBdr>
        </w:div>
        <w:div w:id="1071006386">
          <w:marLeft w:val="0"/>
          <w:marRight w:val="0"/>
          <w:marTop w:val="0"/>
          <w:marBottom w:val="120"/>
          <w:divBdr>
            <w:top w:val="none" w:sz="0" w:space="0" w:color="auto"/>
            <w:left w:val="none" w:sz="0" w:space="0" w:color="auto"/>
            <w:bottom w:val="none" w:sz="0" w:space="0" w:color="auto"/>
            <w:right w:val="none" w:sz="0" w:space="0" w:color="auto"/>
          </w:divBdr>
        </w:div>
        <w:div w:id="897083809">
          <w:marLeft w:val="0"/>
          <w:marRight w:val="0"/>
          <w:marTop w:val="0"/>
          <w:marBottom w:val="120"/>
          <w:divBdr>
            <w:top w:val="none" w:sz="0" w:space="0" w:color="auto"/>
            <w:left w:val="none" w:sz="0" w:space="0" w:color="auto"/>
            <w:bottom w:val="none" w:sz="0" w:space="0" w:color="auto"/>
            <w:right w:val="none" w:sz="0" w:space="0" w:color="auto"/>
          </w:divBdr>
        </w:div>
        <w:div w:id="1731612849">
          <w:marLeft w:val="0"/>
          <w:marRight w:val="0"/>
          <w:marTop w:val="0"/>
          <w:marBottom w:val="120"/>
          <w:divBdr>
            <w:top w:val="none" w:sz="0" w:space="0" w:color="auto"/>
            <w:left w:val="none" w:sz="0" w:space="0" w:color="auto"/>
            <w:bottom w:val="none" w:sz="0" w:space="0" w:color="auto"/>
            <w:right w:val="none" w:sz="0" w:space="0" w:color="auto"/>
          </w:divBdr>
        </w:div>
        <w:div w:id="1112555055">
          <w:marLeft w:val="0"/>
          <w:marRight w:val="0"/>
          <w:marTop w:val="0"/>
          <w:marBottom w:val="120"/>
          <w:divBdr>
            <w:top w:val="none" w:sz="0" w:space="0" w:color="auto"/>
            <w:left w:val="none" w:sz="0" w:space="0" w:color="auto"/>
            <w:bottom w:val="none" w:sz="0" w:space="0" w:color="auto"/>
            <w:right w:val="none" w:sz="0" w:space="0" w:color="auto"/>
          </w:divBdr>
        </w:div>
        <w:div w:id="890531758">
          <w:marLeft w:val="0"/>
          <w:marRight w:val="0"/>
          <w:marTop w:val="0"/>
          <w:marBottom w:val="120"/>
          <w:divBdr>
            <w:top w:val="none" w:sz="0" w:space="0" w:color="auto"/>
            <w:left w:val="none" w:sz="0" w:space="0" w:color="auto"/>
            <w:bottom w:val="none" w:sz="0" w:space="0" w:color="auto"/>
            <w:right w:val="none" w:sz="0" w:space="0" w:color="auto"/>
          </w:divBdr>
        </w:div>
        <w:div w:id="240255244">
          <w:marLeft w:val="0"/>
          <w:marRight w:val="0"/>
          <w:marTop w:val="0"/>
          <w:marBottom w:val="120"/>
          <w:divBdr>
            <w:top w:val="none" w:sz="0" w:space="0" w:color="auto"/>
            <w:left w:val="none" w:sz="0" w:space="0" w:color="auto"/>
            <w:bottom w:val="none" w:sz="0" w:space="0" w:color="auto"/>
            <w:right w:val="none" w:sz="0" w:space="0" w:color="auto"/>
          </w:divBdr>
        </w:div>
        <w:div w:id="958684159">
          <w:marLeft w:val="0"/>
          <w:marRight w:val="0"/>
          <w:marTop w:val="0"/>
          <w:marBottom w:val="120"/>
          <w:divBdr>
            <w:top w:val="none" w:sz="0" w:space="0" w:color="auto"/>
            <w:left w:val="none" w:sz="0" w:space="0" w:color="auto"/>
            <w:bottom w:val="none" w:sz="0" w:space="0" w:color="auto"/>
            <w:right w:val="none" w:sz="0" w:space="0" w:color="auto"/>
          </w:divBdr>
        </w:div>
        <w:div w:id="1934628209">
          <w:marLeft w:val="0"/>
          <w:marRight w:val="0"/>
          <w:marTop w:val="0"/>
          <w:marBottom w:val="120"/>
          <w:divBdr>
            <w:top w:val="none" w:sz="0" w:space="0" w:color="auto"/>
            <w:left w:val="none" w:sz="0" w:space="0" w:color="auto"/>
            <w:bottom w:val="none" w:sz="0" w:space="0" w:color="auto"/>
            <w:right w:val="none" w:sz="0" w:space="0" w:color="auto"/>
          </w:divBdr>
        </w:div>
        <w:div w:id="319582714">
          <w:marLeft w:val="0"/>
          <w:marRight w:val="0"/>
          <w:marTop w:val="0"/>
          <w:marBottom w:val="120"/>
          <w:divBdr>
            <w:top w:val="none" w:sz="0" w:space="0" w:color="auto"/>
            <w:left w:val="none" w:sz="0" w:space="0" w:color="auto"/>
            <w:bottom w:val="none" w:sz="0" w:space="0" w:color="auto"/>
            <w:right w:val="none" w:sz="0" w:space="0" w:color="auto"/>
          </w:divBdr>
        </w:div>
        <w:div w:id="641353959">
          <w:marLeft w:val="0"/>
          <w:marRight w:val="0"/>
          <w:marTop w:val="0"/>
          <w:marBottom w:val="120"/>
          <w:divBdr>
            <w:top w:val="none" w:sz="0" w:space="0" w:color="auto"/>
            <w:left w:val="none" w:sz="0" w:space="0" w:color="auto"/>
            <w:bottom w:val="none" w:sz="0" w:space="0" w:color="auto"/>
            <w:right w:val="none" w:sz="0" w:space="0" w:color="auto"/>
          </w:divBdr>
        </w:div>
        <w:div w:id="1439718195">
          <w:marLeft w:val="0"/>
          <w:marRight w:val="0"/>
          <w:marTop w:val="0"/>
          <w:marBottom w:val="120"/>
          <w:divBdr>
            <w:top w:val="none" w:sz="0" w:space="0" w:color="auto"/>
            <w:left w:val="none" w:sz="0" w:space="0" w:color="auto"/>
            <w:bottom w:val="none" w:sz="0" w:space="0" w:color="auto"/>
            <w:right w:val="none" w:sz="0" w:space="0" w:color="auto"/>
          </w:divBdr>
        </w:div>
        <w:div w:id="1388801583">
          <w:marLeft w:val="0"/>
          <w:marRight w:val="0"/>
          <w:marTop w:val="0"/>
          <w:marBottom w:val="120"/>
          <w:divBdr>
            <w:top w:val="none" w:sz="0" w:space="0" w:color="auto"/>
            <w:left w:val="none" w:sz="0" w:space="0" w:color="auto"/>
            <w:bottom w:val="none" w:sz="0" w:space="0" w:color="auto"/>
            <w:right w:val="none" w:sz="0" w:space="0" w:color="auto"/>
          </w:divBdr>
        </w:div>
        <w:div w:id="1003126036">
          <w:marLeft w:val="0"/>
          <w:marRight w:val="0"/>
          <w:marTop w:val="0"/>
          <w:marBottom w:val="120"/>
          <w:divBdr>
            <w:top w:val="none" w:sz="0" w:space="0" w:color="auto"/>
            <w:left w:val="none" w:sz="0" w:space="0" w:color="auto"/>
            <w:bottom w:val="none" w:sz="0" w:space="0" w:color="auto"/>
            <w:right w:val="none" w:sz="0" w:space="0" w:color="auto"/>
          </w:divBdr>
        </w:div>
        <w:div w:id="387843803">
          <w:marLeft w:val="0"/>
          <w:marRight w:val="0"/>
          <w:marTop w:val="0"/>
          <w:marBottom w:val="120"/>
          <w:divBdr>
            <w:top w:val="none" w:sz="0" w:space="0" w:color="auto"/>
            <w:left w:val="none" w:sz="0" w:space="0" w:color="auto"/>
            <w:bottom w:val="none" w:sz="0" w:space="0" w:color="auto"/>
            <w:right w:val="none" w:sz="0" w:space="0" w:color="auto"/>
          </w:divBdr>
        </w:div>
        <w:div w:id="36242317">
          <w:marLeft w:val="0"/>
          <w:marRight w:val="0"/>
          <w:marTop w:val="0"/>
          <w:marBottom w:val="120"/>
          <w:divBdr>
            <w:top w:val="none" w:sz="0" w:space="0" w:color="auto"/>
            <w:left w:val="none" w:sz="0" w:space="0" w:color="auto"/>
            <w:bottom w:val="none" w:sz="0" w:space="0" w:color="auto"/>
            <w:right w:val="none" w:sz="0" w:space="0" w:color="auto"/>
          </w:divBdr>
        </w:div>
        <w:div w:id="953289523">
          <w:marLeft w:val="0"/>
          <w:marRight w:val="0"/>
          <w:marTop w:val="0"/>
          <w:marBottom w:val="120"/>
          <w:divBdr>
            <w:top w:val="none" w:sz="0" w:space="0" w:color="auto"/>
            <w:left w:val="none" w:sz="0" w:space="0" w:color="auto"/>
            <w:bottom w:val="none" w:sz="0" w:space="0" w:color="auto"/>
            <w:right w:val="none" w:sz="0" w:space="0" w:color="auto"/>
          </w:divBdr>
        </w:div>
        <w:div w:id="782571897">
          <w:marLeft w:val="0"/>
          <w:marRight w:val="0"/>
          <w:marTop w:val="0"/>
          <w:marBottom w:val="120"/>
          <w:divBdr>
            <w:top w:val="none" w:sz="0" w:space="0" w:color="auto"/>
            <w:left w:val="none" w:sz="0" w:space="0" w:color="auto"/>
            <w:bottom w:val="none" w:sz="0" w:space="0" w:color="auto"/>
            <w:right w:val="none" w:sz="0" w:space="0" w:color="auto"/>
          </w:divBdr>
        </w:div>
        <w:div w:id="1083839897">
          <w:marLeft w:val="0"/>
          <w:marRight w:val="0"/>
          <w:marTop w:val="0"/>
          <w:marBottom w:val="120"/>
          <w:divBdr>
            <w:top w:val="none" w:sz="0" w:space="0" w:color="auto"/>
            <w:left w:val="none" w:sz="0" w:space="0" w:color="auto"/>
            <w:bottom w:val="none" w:sz="0" w:space="0" w:color="auto"/>
            <w:right w:val="none" w:sz="0" w:space="0" w:color="auto"/>
          </w:divBdr>
        </w:div>
        <w:div w:id="641352837">
          <w:marLeft w:val="0"/>
          <w:marRight w:val="0"/>
          <w:marTop w:val="0"/>
          <w:marBottom w:val="120"/>
          <w:divBdr>
            <w:top w:val="none" w:sz="0" w:space="0" w:color="auto"/>
            <w:left w:val="none" w:sz="0" w:space="0" w:color="auto"/>
            <w:bottom w:val="none" w:sz="0" w:space="0" w:color="auto"/>
            <w:right w:val="none" w:sz="0" w:space="0" w:color="auto"/>
          </w:divBdr>
        </w:div>
        <w:div w:id="1366250955">
          <w:marLeft w:val="0"/>
          <w:marRight w:val="0"/>
          <w:marTop w:val="0"/>
          <w:marBottom w:val="120"/>
          <w:divBdr>
            <w:top w:val="none" w:sz="0" w:space="0" w:color="auto"/>
            <w:left w:val="none" w:sz="0" w:space="0" w:color="auto"/>
            <w:bottom w:val="none" w:sz="0" w:space="0" w:color="auto"/>
            <w:right w:val="none" w:sz="0" w:space="0" w:color="auto"/>
          </w:divBdr>
        </w:div>
        <w:div w:id="1562204807">
          <w:marLeft w:val="0"/>
          <w:marRight w:val="0"/>
          <w:marTop w:val="0"/>
          <w:marBottom w:val="120"/>
          <w:divBdr>
            <w:top w:val="none" w:sz="0" w:space="0" w:color="auto"/>
            <w:left w:val="none" w:sz="0" w:space="0" w:color="auto"/>
            <w:bottom w:val="none" w:sz="0" w:space="0" w:color="auto"/>
            <w:right w:val="none" w:sz="0" w:space="0" w:color="auto"/>
          </w:divBdr>
        </w:div>
        <w:div w:id="208494929">
          <w:marLeft w:val="0"/>
          <w:marRight w:val="0"/>
          <w:marTop w:val="0"/>
          <w:marBottom w:val="120"/>
          <w:divBdr>
            <w:top w:val="none" w:sz="0" w:space="0" w:color="auto"/>
            <w:left w:val="none" w:sz="0" w:space="0" w:color="auto"/>
            <w:bottom w:val="none" w:sz="0" w:space="0" w:color="auto"/>
            <w:right w:val="none" w:sz="0" w:space="0" w:color="auto"/>
          </w:divBdr>
        </w:div>
        <w:div w:id="280697061">
          <w:marLeft w:val="0"/>
          <w:marRight w:val="0"/>
          <w:marTop w:val="0"/>
          <w:marBottom w:val="120"/>
          <w:divBdr>
            <w:top w:val="none" w:sz="0" w:space="0" w:color="auto"/>
            <w:left w:val="none" w:sz="0" w:space="0" w:color="auto"/>
            <w:bottom w:val="none" w:sz="0" w:space="0" w:color="auto"/>
            <w:right w:val="none" w:sz="0" w:space="0" w:color="auto"/>
          </w:divBdr>
        </w:div>
        <w:div w:id="239141169">
          <w:marLeft w:val="0"/>
          <w:marRight w:val="0"/>
          <w:marTop w:val="0"/>
          <w:marBottom w:val="120"/>
          <w:divBdr>
            <w:top w:val="none" w:sz="0" w:space="0" w:color="auto"/>
            <w:left w:val="none" w:sz="0" w:space="0" w:color="auto"/>
            <w:bottom w:val="none" w:sz="0" w:space="0" w:color="auto"/>
            <w:right w:val="none" w:sz="0" w:space="0" w:color="auto"/>
          </w:divBdr>
        </w:div>
        <w:div w:id="1279726718">
          <w:marLeft w:val="0"/>
          <w:marRight w:val="0"/>
          <w:marTop w:val="0"/>
          <w:marBottom w:val="120"/>
          <w:divBdr>
            <w:top w:val="none" w:sz="0" w:space="0" w:color="auto"/>
            <w:left w:val="none" w:sz="0" w:space="0" w:color="auto"/>
            <w:bottom w:val="none" w:sz="0" w:space="0" w:color="auto"/>
            <w:right w:val="none" w:sz="0" w:space="0" w:color="auto"/>
          </w:divBdr>
        </w:div>
        <w:div w:id="801119369">
          <w:marLeft w:val="0"/>
          <w:marRight w:val="0"/>
          <w:marTop w:val="0"/>
          <w:marBottom w:val="120"/>
          <w:divBdr>
            <w:top w:val="none" w:sz="0" w:space="0" w:color="auto"/>
            <w:left w:val="none" w:sz="0" w:space="0" w:color="auto"/>
            <w:bottom w:val="none" w:sz="0" w:space="0" w:color="auto"/>
            <w:right w:val="none" w:sz="0" w:space="0" w:color="auto"/>
          </w:divBdr>
        </w:div>
        <w:div w:id="1309939050">
          <w:marLeft w:val="0"/>
          <w:marRight w:val="0"/>
          <w:marTop w:val="0"/>
          <w:marBottom w:val="120"/>
          <w:divBdr>
            <w:top w:val="none" w:sz="0" w:space="0" w:color="auto"/>
            <w:left w:val="none" w:sz="0" w:space="0" w:color="auto"/>
            <w:bottom w:val="none" w:sz="0" w:space="0" w:color="auto"/>
            <w:right w:val="none" w:sz="0" w:space="0" w:color="auto"/>
          </w:divBdr>
        </w:div>
        <w:div w:id="196043851">
          <w:marLeft w:val="0"/>
          <w:marRight w:val="0"/>
          <w:marTop w:val="0"/>
          <w:marBottom w:val="120"/>
          <w:divBdr>
            <w:top w:val="none" w:sz="0" w:space="0" w:color="auto"/>
            <w:left w:val="none" w:sz="0" w:space="0" w:color="auto"/>
            <w:bottom w:val="none" w:sz="0" w:space="0" w:color="auto"/>
            <w:right w:val="none" w:sz="0" w:space="0" w:color="auto"/>
          </w:divBdr>
        </w:div>
        <w:div w:id="902329818">
          <w:marLeft w:val="0"/>
          <w:marRight w:val="0"/>
          <w:marTop w:val="0"/>
          <w:marBottom w:val="120"/>
          <w:divBdr>
            <w:top w:val="none" w:sz="0" w:space="0" w:color="auto"/>
            <w:left w:val="none" w:sz="0" w:space="0" w:color="auto"/>
            <w:bottom w:val="none" w:sz="0" w:space="0" w:color="auto"/>
            <w:right w:val="none" w:sz="0" w:space="0" w:color="auto"/>
          </w:divBdr>
        </w:div>
        <w:div w:id="1536381730">
          <w:marLeft w:val="0"/>
          <w:marRight w:val="0"/>
          <w:marTop w:val="0"/>
          <w:marBottom w:val="120"/>
          <w:divBdr>
            <w:top w:val="none" w:sz="0" w:space="0" w:color="auto"/>
            <w:left w:val="none" w:sz="0" w:space="0" w:color="auto"/>
            <w:bottom w:val="none" w:sz="0" w:space="0" w:color="auto"/>
            <w:right w:val="none" w:sz="0" w:space="0" w:color="auto"/>
          </w:divBdr>
        </w:div>
        <w:div w:id="1447773917">
          <w:marLeft w:val="0"/>
          <w:marRight w:val="0"/>
          <w:marTop w:val="0"/>
          <w:marBottom w:val="120"/>
          <w:divBdr>
            <w:top w:val="none" w:sz="0" w:space="0" w:color="auto"/>
            <w:left w:val="none" w:sz="0" w:space="0" w:color="auto"/>
            <w:bottom w:val="none" w:sz="0" w:space="0" w:color="auto"/>
            <w:right w:val="none" w:sz="0" w:space="0" w:color="auto"/>
          </w:divBdr>
        </w:div>
        <w:div w:id="531185949">
          <w:marLeft w:val="0"/>
          <w:marRight w:val="0"/>
          <w:marTop w:val="0"/>
          <w:marBottom w:val="120"/>
          <w:divBdr>
            <w:top w:val="none" w:sz="0" w:space="0" w:color="auto"/>
            <w:left w:val="none" w:sz="0" w:space="0" w:color="auto"/>
            <w:bottom w:val="none" w:sz="0" w:space="0" w:color="auto"/>
            <w:right w:val="none" w:sz="0" w:space="0" w:color="auto"/>
          </w:divBdr>
        </w:div>
        <w:div w:id="190607892">
          <w:marLeft w:val="0"/>
          <w:marRight w:val="0"/>
          <w:marTop w:val="0"/>
          <w:marBottom w:val="120"/>
          <w:divBdr>
            <w:top w:val="none" w:sz="0" w:space="0" w:color="auto"/>
            <w:left w:val="none" w:sz="0" w:space="0" w:color="auto"/>
            <w:bottom w:val="none" w:sz="0" w:space="0" w:color="auto"/>
            <w:right w:val="none" w:sz="0" w:space="0" w:color="auto"/>
          </w:divBdr>
        </w:div>
        <w:div w:id="370034672">
          <w:marLeft w:val="0"/>
          <w:marRight w:val="0"/>
          <w:marTop w:val="0"/>
          <w:marBottom w:val="120"/>
          <w:divBdr>
            <w:top w:val="none" w:sz="0" w:space="0" w:color="auto"/>
            <w:left w:val="none" w:sz="0" w:space="0" w:color="auto"/>
            <w:bottom w:val="none" w:sz="0" w:space="0" w:color="auto"/>
            <w:right w:val="none" w:sz="0" w:space="0" w:color="auto"/>
          </w:divBdr>
        </w:div>
        <w:div w:id="1411272100">
          <w:marLeft w:val="0"/>
          <w:marRight w:val="0"/>
          <w:marTop w:val="0"/>
          <w:marBottom w:val="120"/>
          <w:divBdr>
            <w:top w:val="none" w:sz="0" w:space="0" w:color="auto"/>
            <w:left w:val="none" w:sz="0" w:space="0" w:color="auto"/>
            <w:bottom w:val="none" w:sz="0" w:space="0" w:color="auto"/>
            <w:right w:val="none" w:sz="0" w:space="0" w:color="auto"/>
          </w:divBdr>
        </w:div>
        <w:div w:id="852231312">
          <w:marLeft w:val="0"/>
          <w:marRight w:val="0"/>
          <w:marTop w:val="0"/>
          <w:marBottom w:val="120"/>
          <w:divBdr>
            <w:top w:val="none" w:sz="0" w:space="0" w:color="auto"/>
            <w:left w:val="none" w:sz="0" w:space="0" w:color="auto"/>
            <w:bottom w:val="none" w:sz="0" w:space="0" w:color="auto"/>
            <w:right w:val="none" w:sz="0" w:space="0" w:color="auto"/>
          </w:divBdr>
        </w:div>
        <w:div w:id="158624228">
          <w:marLeft w:val="0"/>
          <w:marRight w:val="0"/>
          <w:marTop w:val="0"/>
          <w:marBottom w:val="120"/>
          <w:divBdr>
            <w:top w:val="none" w:sz="0" w:space="0" w:color="auto"/>
            <w:left w:val="none" w:sz="0" w:space="0" w:color="auto"/>
            <w:bottom w:val="none" w:sz="0" w:space="0" w:color="auto"/>
            <w:right w:val="none" w:sz="0" w:space="0" w:color="auto"/>
          </w:divBdr>
        </w:div>
        <w:div w:id="2101101784">
          <w:marLeft w:val="0"/>
          <w:marRight w:val="0"/>
          <w:marTop w:val="0"/>
          <w:marBottom w:val="120"/>
          <w:divBdr>
            <w:top w:val="none" w:sz="0" w:space="0" w:color="auto"/>
            <w:left w:val="none" w:sz="0" w:space="0" w:color="auto"/>
            <w:bottom w:val="none" w:sz="0" w:space="0" w:color="auto"/>
            <w:right w:val="none" w:sz="0" w:space="0" w:color="auto"/>
          </w:divBdr>
        </w:div>
        <w:div w:id="77760483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 Quy</cp:lastModifiedBy>
  <cp:revision>2</cp:revision>
  <dcterms:created xsi:type="dcterms:W3CDTF">2023-01-10T02:30:00Z</dcterms:created>
  <dcterms:modified xsi:type="dcterms:W3CDTF">2023-01-10T02:30:00Z</dcterms:modified>
</cp:coreProperties>
</file>